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29"/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362"/>
        <w:gridCol w:w="1363"/>
        <w:gridCol w:w="990"/>
        <w:gridCol w:w="568"/>
        <w:gridCol w:w="328"/>
        <w:gridCol w:w="218"/>
        <w:gridCol w:w="36"/>
        <w:gridCol w:w="177"/>
        <w:gridCol w:w="215"/>
        <w:gridCol w:w="415"/>
        <w:gridCol w:w="623"/>
        <w:gridCol w:w="36"/>
        <w:gridCol w:w="177"/>
        <w:gridCol w:w="672"/>
        <w:gridCol w:w="748"/>
        <w:gridCol w:w="750"/>
        <w:gridCol w:w="33"/>
      </w:tblGrid>
      <w:tr w:rsidR="00957C9D" w14:paraId="3A1AF2E9" w14:textId="77777777" w:rsidTr="002A732A">
        <w:trPr>
          <w:gridAfter w:val="1"/>
          <w:wAfter w:w="19" w:type="pct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311E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20CB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Nama 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  <w:proofErr w:type="gramEnd"/>
          </w:p>
          <w:p w14:paraId="5E15DDDE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6A7D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MANAHIJ AL-MUFASSIRIN</w:t>
            </w:r>
          </w:p>
        </w:tc>
      </w:tr>
      <w:tr w:rsidR="00957C9D" w14:paraId="7146B9A1" w14:textId="77777777" w:rsidTr="002A732A">
        <w:trPr>
          <w:gridAfter w:val="1"/>
          <w:wAfter w:w="19" w:type="pct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5A2A5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D7128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40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BD83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AQS 2173</w:t>
            </w:r>
          </w:p>
          <w:p w14:paraId="701503FB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7C9D" w14:paraId="3AF23C19" w14:textId="77777777" w:rsidTr="002A732A">
        <w:trPr>
          <w:gridAfter w:val="1"/>
          <w:wAfter w:w="19" w:type="pct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42A9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619E6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Staf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40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C517C" w14:textId="77777777" w:rsidR="00957C9D" w:rsidRDefault="00957C9D" w:rsidP="00F809B9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NAMA                                   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MARIYAH BT ISHAK</w:t>
            </w:r>
          </w:p>
          <w:p w14:paraId="550F0672" w14:textId="77777777" w:rsidR="00957C9D" w:rsidRDefault="00957C9D" w:rsidP="00F809B9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KELULUSAN                        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IJAZAH SARJANA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ILMU WAHYU (AL-QURAN &amp; SUNNAH)</w:t>
            </w:r>
          </w:p>
          <w:p w14:paraId="3C771BC1" w14:textId="77777777" w:rsidR="00957C9D" w:rsidRDefault="00957C9D" w:rsidP="00F809B9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>UNIVERSITI                            : UNIVERSITI ISLAM ANTARABANGSA MALAYSIA</w:t>
            </w:r>
          </w:p>
          <w:p w14:paraId="40709ADF" w14:textId="77777777" w:rsidR="00957C9D" w:rsidRDefault="00957C9D" w:rsidP="00F809B9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>TAHUN BERGRADUAT          : 2015</w:t>
            </w:r>
          </w:p>
        </w:tc>
      </w:tr>
      <w:tr w:rsidR="00957C9D" w14:paraId="2C498A2B" w14:textId="77777777" w:rsidTr="002A732A">
        <w:trPr>
          <w:gridAfter w:val="1"/>
          <w:wAfter w:w="19" w:type="pct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51D0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8462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Rasional   kursus dimasukkan dalam program ini</w:t>
            </w:r>
          </w:p>
          <w:p w14:paraId="0C4E8C21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40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29060" w14:textId="77777777" w:rsidR="00957C9D" w:rsidRDefault="00957C9D" w:rsidP="00F809B9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 w:val="0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  <w:lang w:val="sv-SE"/>
              </w:rPr>
              <w:t>Kursus ini merupakan asas kepada program supaya pelajar  dapat  mengenal kaedah mentafsirkan Al-Quran yang tepat berdasarkan sumber-sumber yang sahih disamping dapat menentukan kitab tafsir yang utama untuk dijadikan rujukan.</w:t>
            </w:r>
          </w:p>
        </w:tc>
      </w:tr>
      <w:tr w:rsidR="00957C9D" w14:paraId="5E96BB9A" w14:textId="77777777" w:rsidTr="002A732A">
        <w:trPr>
          <w:gridAfter w:val="1"/>
          <w:wAfter w:w="19" w:type="pct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65E8D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1346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Semester dan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ditawarkan</w:t>
            </w:r>
            <w:proofErr w:type="spellEnd"/>
          </w:p>
          <w:p w14:paraId="483E4C48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368F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SEMESTER 4 / TAHUN 2</w:t>
            </w:r>
          </w:p>
        </w:tc>
      </w:tr>
      <w:tr w:rsidR="00957C9D" w14:paraId="3978F53E" w14:textId="77777777" w:rsidTr="002A732A">
        <w:trPr>
          <w:gridAfter w:val="1"/>
          <w:wAfter w:w="19" w:type="pct"/>
          <w:trHeight w:val="371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7F0DD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03A08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Jumlah Masa Belajar Pelajar (SLT)</w:t>
            </w:r>
          </w:p>
          <w:p w14:paraId="2F4F2664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K:Kuliah</w:t>
            </w:r>
          </w:p>
          <w:p w14:paraId="0A8089DF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T:Tutorial</w:t>
            </w:r>
          </w:p>
          <w:p w14:paraId="0035E4B1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P:Praktikal</w:t>
            </w:r>
          </w:p>
          <w:p w14:paraId="2E930204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L:lain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>-lain</w:t>
            </w:r>
          </w:p>
        </w:tc>
        <w:tc>
          <w:tcPr>
            <w:tcW w:w="19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11145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Bersemuka</w:t>
            </w:r>
            <w:proofErr w:type="spellEnd"/>
          </w:p>
        </w:tc>
        <w:tc>
          <w:tcPr>
            <w:tcW w:w="8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C066AD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Kendiri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(PK)</w:t>
            </w:r>
          </w:p>
        </w:tc>
        <w:tc>
          <w:tcPr>
            <w:tcW w:w="130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2FAFD2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Jumlah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Pembelajaran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 secara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Bimbingan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 dan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Kendiri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(SLT)</w:t>
            </w:r>
          </w:p>
        </w:tc>
      </w:tr>
      <w:tr w:rsidR="002A732A" w14:paraId="674BFB4C" w14:textId="77777777" w:rsidTr="002A732A">
        <w:trPr>
          <w:trHeight w:val="420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50FDB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3792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6D559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3942C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8117C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900C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</w:t>
            </w:r>
          </w:p>
        </w:tc>
        <w:tc>
          <w:tcPr>
            <w:tcW w:w="8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1092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8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AA6C1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2A732A" w14:paraId="201F0AC0" w14:textId="77777777" w:rsidTr="002A732A">
        <w:trPr>
          <w:trHeight w:val="810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493DC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9456D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2CA7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542FC80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A1D3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2960800" w14:textId="77777777" w:rsidR="00957C9D" w:rsidRDefault="00957C9D" w:rsidP="001A55FD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B481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7DCC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0D924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67738B4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71</w:t>
            </w:r>
          </w:p>
        </w:tc>
        <w:tc>
          <w:tcPr>
            <w:tcW w:w="1308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7508C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2769C7B4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</w:tr>
      <w:tr w:rsidR="00957C9D" w14:paraId="7616DDC4" w14:textId="77777777" w:rsidTr="002A732A">
        <w:trPr>
          <w:gridAfter w:val="1"/>
          <w:wAfter w:w="19" w:type="pct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C30BA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64CA0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Nilai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40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7609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3 ( 2 + 1 )</w:t>
            </w:r>
          </w:p>
          <w:p w14:paraId="106AFDEE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3 jam kredit (2 jam kredit kuliah+ 1 jam kredit tutorial)</w:t>
            </w:r>
          </w:p>
          <w:p w14:paraId="739C51F3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  jam kuliah   (2 jam kontak x  14 minggu)       =  28</w:t>
            </w:r>
          </w:p>
          <w:p w14:paraId="4F00C3D9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1  jam tutorial  (1.5 jam kontak x  14 minggu)    =  21</w:t>
            </w:r>
          </w:p>
          <w:p w14:paraId="6B663D50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4C4B0BF7" w14:textId="77777777" w:rsidR="00957C9D" w:rsidRDefault="00957C9D" w:rsidP="00F809B9"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Jumlah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jam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kontak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      =   49 jam</w:t>
            </w:r>
          </w:p>
        </w:tc>
      </w:tr>
      <w:tr w:rsidR="00957C9D" w14:paraId="04BA2F15" w14:textId="77777777" w:rsidTr="002A732A">
        <w:trPr>
          <w:gridAfter w:val="1"/>
          <w:wAfter w:w="19" w:type="pct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69CA4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23E8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40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5D70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Tiada</w:t>
            </w:r>
            <w:proofErr w:type="spellEnd"/>
          </w:p>
          <w:p w14:paraId="0D976995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7C9D" w14:paraId="0BC0A453" w14:textId="77777777" w:rsidTr="002A732A">
        <w:trPr>
          <w:gridAfter w:val="1"/>
          <w:wAfter w:w="19" w:type="pct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CE3B6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A7F8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40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8978" w14:textId="5FBE9CAB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proofErr w:type="spellStart"/>
            <w:r w:rsidR="00F07932">
              <w:rPr>
                <w:rFonts w:ascii="Arial Narrow" w:hAnsi="Arial Narrow" w:cs="Arial"/>
                <w:sz w:val="20"/>
                <w:szCs w:val="20"/>
              </w:rPr>
              <w:t>menunjukkan</w:t>
            </w:r>
            <w:proofErr w:type="spellEnd"/>
            <w:r w:rsidR="00F079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F07932">
              <w:rPr>
                <w:rFonts w:ascii="Arial Narrow" w:hAnsi="Arial Narrow" w:cs="Arial"/>
                <w:sz w:val="20"/>
                <w:szCs w:val="20"/>
              </w:rPr>
              <w:t>pengetahuan</w:t>
            </w:r>
            <w:proofErr w:type="spellEnd"/>
            <w:r w:rsidR="00F079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F07932">
              <w:rPr>
                <w:rFonts w:ascii="Arial Narrow" w:hAnsi="Arial Narrow" w:cs="Arial"/>
                <w:sz w:val="20"/>
                <w:szCs w:val="20"/>
              </w:rPr>
              <w:t>tentang</w:t>
            </w:r>
            <w:proofErr w:type="spellEnd"/>
            <w:r w:rsidR="00F079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kitab-kitab tafsir yang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utama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sebagai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14:paraId="27E69929" w14:textId="65943C8A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="00FB7D77">
              <w:rPr>
                <w:rFonts w:ascii="Arial Narrow" w:hAnsi="Arial Narrow" w:cs="Arial"/>
                <w:sz w:val="20"/>
                <w:szCs w:val="20"/>
              </w:rPr>
              <w:t>Menerangkan</w:t>
            </w:r>
            <w:proofErr w:type="spellEnd"/>
            <w:r w:rsidR="00FB7D7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cara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>-cara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mentafsirkan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Al-Quran yang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menepati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syarat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manhaj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yang sahih.</w:t>
            </w:r>
          </w:p>
          <w:p w14:paraId="548E8832" w14:textId="543D2FFA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  <w:r w:rsidR="00F079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F07932">
              <w:rPr>
                <w:rFonts w:ascii="Arial Narrow" w:hAnsi="Arial Narrow" w:cs="Arial"/>
                <w:sz w:val="20"/>
                <w:szCs w:val="20"/>
              </w:rPr>
              <w:t>menunjukkan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F07932">
              <w:rPr>
                <w:rFonts w:ascii="Arial Narrow" w:hAnsi="Arial Narrow" w:cs="Arial"/>
                <w:sz w:val="20"/>
                <w:szCs w:val="20"/>
              </w:rPr>
              <w:t>perbezaan</w:t>
            </w:r>
            <w:proofErr w:type="spellEnd"/>
            <w:r w:rsidR="00F079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ciri-ciri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pentafsiran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Al-Quran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zaman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sahabat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r.a.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hingga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era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tadwin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7B0BB8E2" w14:textId="3319E9FC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4. </w:t>
            </w:r>
            <w:proofErr w:type="spellStart"/>
            <w:r w:rsidR="00F07932">
              <w:rPr>
                <w:rFonts w:ascii="Arial Narrow" w:hAnsi="Arial Narrow" w:cs="Arial"/>
                <w:sz w:val="20"/>
                <w:szCs w:val="20"/>
              </w:rPr>
              <w:t>menunjukkan</w:t>
            </w:r>
            <w:proofErr w:type="spellEnd"/>
            <w:r w:rsidR="00F079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F07932">
              <w:rPr>
                <w:rFonts w:ascii="Arial Narrow" w:hAnsi="Arial Narrow" w:cs="Arial"/>
                <w:sz w:val="20"/>
                <w:szCs w:val="20"/>
              </w:rPr>
              <w:t>kefahaman</w:t>
            </w:r>
            <w:proofErr w:type="spellEnd"/>
            <w:r w:rsidR="00F079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F07932">
              <w:rPr>
                <w:rFonts w:ascii="Arial Narrow" w:hAnsi="Arial Narrow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perbezaan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antara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tafsir dan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takwil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957C9D" w14:paraId="39545E49" w14:textId="77777777" w:rsidTr="002A732A">
        <w:trPr>
          <w:gridAfter w:val="1"/>
          <w:wAfter w:w="19" w:type="pct"/>
          <w:trHeight w:val="56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6CBF1E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ECE039" w14:textId="77777777" w:rsidR="00957C9D" w:rsidRDefault="00957C9D" w:rsidP="00F809B9">
            <w:pPr>
              <w:pStyle w:val="BodyTextIndent"/>
              <w:spacing w:after="0" w:line="240" w:lineRule="auto"/>
              <w:ind w:left="0"/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Hasil Pembelajaran Kursus (CLO)</w:t>
            </w:r>
          </w:p>
        </w:tc>
        <w:tc>
          <w:tcPr>
            <w:tcW w:w="40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72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2604"/>
              <w:gridCol w:w="1469"/>
              <w:gridCol w:w="1383"/>
              <w:gridCol w:w="1211"/>
            </w:tblGrid>
            <w:tr w:rsidR="00957C9D" w14:paraId="7EFBD4B0" w14:textId="77777777" w:rsidTr="001A55FD">
              <w:trPr>
                <w:trHeight w:val="246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62F480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Selepas menamatkan kursus ini, pelajar sepatutnya boleh:-</w:t>
                  </w:r>
                </w:p>
                <w:p w14:paraId="4F4AADD6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957C9D" w14:paraId="64998386" w14:textId="77777777" w:rsidTr="001A55FD">
              <w:trPr>
                <w:trHeight w:val="24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1B5E00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No</w:t>
                  </w:r>
                </w:p>
              </w:tc>
              <w:tc>
                <w:tcPr>
                  <w:tcW w:w="2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F1D56F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(CLO)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95B5FA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Program (PLO)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730991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Taksonomi dan Kemahiran Generik</w:t>
                  </w:r>
                </w:p>
              </w:tc>
              <w:tc>
                <w:tcPr>
                  <w:tcW w:w="1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42E009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Kaedah Penilaian</w:t>
                  </w:r>
                </w:p>
              </w:tc>
            </w:tr>
            <w:tr w:rsidR="00957C9D" w14:paraId="0655560F" w14:textId="77777777" w:rsidTr="001A55FD">
              <w:trPr>
                <w:trHeight w:val="243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5785BE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1</w:t>
                  </w:r>
                </w:p>
              </w:tc>
              <w:tc>
                <w:tcPr>
                  <w:tcW w:w="2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B2B099" w14:textId="33B9AF88" w:rsidR="00957C9D" w:rsidRDefault="00F07932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Menunjukkan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 xml:space="preserve"> cara </w:t>
                  </w:r>
                  <w:proofErr w:type="spellStart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Memilih</w:t>
                  </w:r>
                  <w:proofErr w:type="spellEnd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 xml:space="preserve"> dan </w:t>
                  </w:r>
                  <w:proofErr w:type="spellStart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menentukan</w:t>
                  </w:r>
                  <w:proofErr w:type="spellEnd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keutamaan</w:t>
                  </w:r>
                  <w:proofErr w:type="spellEnd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kitab-kitab</w:t>
                  </w:r>
                  <w:proofErr w:type="spellEnd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tafsir</w:t>
                  </w:r>
                  <w:proofErr w:type="spellEnd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dalam</w:t>
                  </w:r>
                  <w:proofErr w:type="spellEnd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menjadikannya</w:t>
                  </w:r>
                  <w:proofErr w:type="spellEnd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proofErr w:type="gramStart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sebagai</w:t>
                  </w:r>
                  <w:proofErr w:type="spellEnd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 xml:space="preserve">  </w:t>
                  </w:r>
                  <w:proofErr w:type="spellStart"/>
                  <w:r w:rsidR="00957C9D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rujukan</w:t>
                  </w:r>
                  <w:proofErr w:type="spellEnd"/>
                  <w:proofErr w:type="gramEnd"/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2DD10C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PLO1, PLO4, PLO7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B98FAD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C1, C3</w:t>
                  </w:r>
                </w:p>
              </w:tc>
              <w:tc>
                <w:tcPr>
                  <w:tcW w:w="12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C9C346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Ujian, Tugasan, Pembentangan, Peperiksaan Akhir</w:t>
                  </w:r>
                </w:p>
              </w:tc>
            </w:tr>
            <w:tr w:rsidR="00957C9D" w14:paraId="626CB4D0" w14:textId="77777777" w:rsidTr="001A55FD">
              <w:trPr>
                <w:trHeight w:val="243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D33A38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2</w:t>
                  </w:r>
                </w:p>
              </w:tc>
              <w:tc>
                <w:tcPr>
                  <w:tcW w:w="2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6D35BC" w14:textId="7C5BC39B" w:rsidR="00957C9D" w:rsidRDefault="00F07932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menerangkan</w:t>
                  </w:r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cara-cara 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mentafsirkan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al-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Quran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dengan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menepati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syarat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–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syarat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dan 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manhaj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yang 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sahih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.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B33A67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PLO1, PLO4, PLO7, PLO8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D4315F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C2, C3, C4</w:t>
                  </w:r>
                </w:p>
              </w:tc>
              <w:tc>
                <w:tcPr>
                  <w:tcW w:w="13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76ECF0" w14:textId="77777777" w:rsidR="00957C9D" w:rsidRDefault="00957C9D" w:rsidP="00F809B9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957C9D" w14:paraId="43CBC532" w14:textId="77777777" w:rsidTr="001A55FD">
              <w:trPr>
                <w:trHeight w:val="243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6172B0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3</w:t>
                  </w:r>
                </w:p>
              </w:tc>
              <w:tc>
                <w:tcPr>
                  <w:tcW w:w="2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79D60D" w14:textId="7DBCAC01" w:rsidR="00957C9D" w:rsidRDefault="00F07932" w:rsidP="00F809B9">
                  <w:pPr>
                    <w:spacing w:line="240" w:lineRule="auto"/>
                    <w:rPr>
                      <w:rFonts w:ascii="Arial Narrow" w:hAnsi="Arial Narrow" w:cs="Arial"/>
                      <w:i/>
                      <w:iCs/>
                      <w:sz w:val="20"/>
                      <w:szCs w:val="20"/>
                      <w:lang w:val="es-ES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Menunjukkan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cara-cara </w:t>
                  </w:r>
                  <w:bookmarkStart w:id="0" w:name="_GoBack"/>
                  <w:bookmarkEnd w:id="0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Membezakan 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ciri-ciri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dan 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sumber-sumber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pentafsiran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al-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Quran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dari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zaman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sahabat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r.a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. 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hingga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era 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tadwin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(</w:t>
                  </w:r>
                  <w:proofErr w:type="spellStart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pembukuan</w:t>
                  </w:r>
                  <w:proofErr w:type="spellEnd"/>
                  <w:r w:rsidR="00957C9D"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)</w:t>
                  </w:r>
                  <w:r w:rsidR="00957C9D">
                    <w:rPr>
                      <w:rFonts w:ascii="Arial Narrow" w:hAnsi="Arial Narrow" w:cs="Arial"/>
                      <w:i/>
                      <w:iCs/>
                      <w:sz w:val="20"/>
                      <w:szCs w:val="20"/>
                      <w:lang w:val="es-ES"/>
                    </w:rPr>
                    <w:t>.</w:t>
                  </w:r>
                </w:p>
                <w:p w14:paraId="5515A456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4E5B7F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PLO1, PLO7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8F252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C3</w:t>
                  </w:r>
                </w:p>
              </w:tc>
              <w:tc>
                <w:tcPr>
                  <w:tcW w:w="13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15362A" w14:textId="77777777" w:rsidR="00957C9D" w:rsidRDefault="00957C9D" w:rsidP="00F809B9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957C9D" w14:paraId="1ACBBA4B" w14:textId="77777777" w:rsidTr="001A55FD">
              <w:trPr>
                <w:trHeight w:val="243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58E421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lastRenderedPageBreak/>
                    <w:t>4</w:t>
                  </w:r>
                </w:p>
              </w:tc>
              <w:tc>
                <w:tcPr>
                  <w:tcW w:w="2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34C572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Menjelaskan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konsep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tafsir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al-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Quran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dan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perbezaannya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dengan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  <w:lang w:val="es-ES"/>
                    </w:rPr>
                    <w:t>takwil</w:t>
                  </w:r>
                  <w:proofErr w:type="spellEnd"/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8758D8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PLO1, PLO7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68134F" w14:textId="77777777" w:rsidR="00957C9D" w:rsidRDefault="00957C9D" w:rsidP="00F809B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C2</w:t>
                  </w:r>
                </w:p>
              </w:tc>
              <w:tc>
                <w:tcPr>
                  <w:tcW w:w="13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B9AA6C" w14:textId="77777777" w:rsidR="00957C9D" w:rsidRDefault="00957C9D" w:rsidP="00F809B9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</w:tr>
          </w:tbl>
          <w:p w14:paraId="14B6868C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.</w:t>
            </w:r>
          </w:p>
        </w:tc>
      </w:tr>
      <w:tr w:rsidR="00957C9D" w14:paraId="40BBFF2F" w14:textId="77777777" w:rsidTr="002A732A">
        <w:trPr>
          <w:gridAfter w:val="1"/>
          <w:wAfter w:w="19" w:type="pct"/>
          <w:trHeight w:val="534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B1DD8C" w14:textId="77777777" w:rsidR="00957C9D" w:rsidRDefault="00957C9D" w:rsidP="00F809B9">
            <w:pPr>
              <w:spacing w:line="240" w:lineRule="auto"/>
              <w:ind w:left="-2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D4B8D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Pemindahan Kemahiran</w:t>
            </w:r>
          </w:p>
          <w:p w14:paraId="55985EA0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i/>
                <w:sz w:val="20"/>
                <w:szCs w:val="20"/>
                <w:lang w:val="sv-SE"/>
              </w:rPr>
            </w:pPr>
          </w:p>
        </w:tc>
        <w:tc>
          <w:tcPr>
            <w:tcW w:w="17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730A5F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Kemahiran Yang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9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1CE14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Kaedah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Penilaian</w:t>
            </w:r>
            <w:proofErr w:type="spellEnd"/>
          </w:p>
          <w:p w14:paraId="542BC0DD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13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2B1D5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Bentuk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Penilaian</w:t>
            </w:r>
            <w:proofErr w:type="spellEnd"/>
          </w:p>
          <w:p w14:paraId="6FBD0028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957C9D" w14:paraId="0FB66C71" w14:textId="77777777" w:rsidTr="002A732A">
        <w:trPr>
          <w:gridAfter w:val="1"/>
          <w:wAfter w:w="19" w:type="pct"/>
          <w:trHeight w:val="532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398345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6DB5B3" w14:textId="77777777" w:rsidR="00957C9D" w:rsidRDefault="00957C9D" w:rsidP="00F809B9">
            <w:pPr>
              <w:rPr>
                <w:rFonts w:ascii="Arial Narrow" w:hAnsi="Arial Narrow" w:cs="Arial"/>
                <w:i/>
                <w:sz w:val="20"/>
                <w:szCs w:val="20"/>
                <w:lang w:val="sv-SE"/>
              </w:rPr>
            </w:pPr>
          </w:p>
        </w:tc>
        <w:tc>
          <w:tcPr>
            <w:tcW w:w="17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E06061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Menentukan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keutamaan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kitab tafsir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menjadikannya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9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DE469A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Ujian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latihan</w:t>
            </w:r>
            <w:proofErr w:type="spellEnd"/>
          </w:p>
        </w:tc>
        <w:tc>
          <w:tcPr>
            <w:tcW w:w="13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4741DB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Individu</w:t>
            </w:r>
            <w:proofErr w:type="spellEnd"/>
          </w:p>
        </w:tc>
      </w:tr>
      <w:tr w:rsidR="00957C9D" w14:paraId="64B46E64" w14:textId="77777777" w:rsidTr="002A732A">
        <w:trPr>
          <w:gridAfter w:val="1"/>
          <w:wAfter w:w="19" w:type="pct"/>
          <w:trHeight w:val="532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6AE485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CDA85E" w14:textId="77777777" w:rsidR="00957C9D" w:rsidRDefault="00957C9D" w:rsidP="00F809B9">
            <w:pPr>
              <w:rPr>
                <w:rFonts w:ascii="Arial Narrow" w:hAnsi="Arial Narrow" w:cs="Arial"/>
                <w:i/>
                <w:sz w:val="20"/>
                <w:szCs w:val="20"/>
                <w:lang w:val="sv-SE"/>
              </w:rPr>
            </w:pPr>
          </w:p>
        </w:tc>
        <w:tc>
          <w:tcPr>
            <w:tcW w:w="17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C10720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Kemahiran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Komunikasi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3B1C89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Soal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jawab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perbincangan</w:t>
            </w:r>
            <w:proofErr w:type="spellEnd"/>
          </w:p>
        </w:tc>
        <w:tc>
          <w:tcPr>
            <w:tcW w:w="13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C2794D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Individu &amp; kumpulan</w:t>
            </w:r>
          </w:p>
        </w:tc>
      </w:tr>
      <w:tr w:rsidR="00957C9D" w14:paraId="56939B22" w14:textId="77777777" w:rsidTr="002A732A">
        <w:trPr>
          <w:gridAfter w:val="1"/>
          <w:wAfter w:w="19" w:type="pct"/>
          <w:trHeight w:val="532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FBCFFC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66F8B2" w14:textId="77777777" w:rsidR="00957C9D" w:rsidRDefault="00957C9D" w:rsidP="00F809B9">
            <w:pPr>
              <w:rPr>
                <w:rFonts w:ascii="Arial Narrow" w:hAnsi="Arial Narrow" w:cs="Arial"/>
                <w:i/>
                <w:sz w:val="20"/>
                <w:szCs w:val="20"/>
                <w:lang w:val="sv-SE"/>
              </w:rPr>
            </w:pPr>
          </w:p>
        </w:tc>
        <w:tc>
          <w:tcPr>
            <w:tcW w:w="17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5FB222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fi-FI"/>
              </w:rPr>
              <w:t xml:space="preserve">Kemahiran Berpasukan </w:t>
            </w:r>
          </w:p>
        </w:tc>
        <w:tc>
          <w:tcPr>
            <w:tcW w:w="9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41AABA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Perbincangan, pembentangan &amp; soal jawab</w:t>
            </w:r>
          </w:p>
        </w:tc>
        <w:tc>
          <w:tcPr>
            <w:tcW w:w="13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3F7C63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Individu &amp; kumpulan</w:t>
            </w:r>
          </w:p>
        </w:tc>
      </w:tr>
      <w:tr w:rsidR="00957C9D" w14:paraId="162C9167" w14:textId="77777777" w:rsidTr="002A732A">
        <w:trPr>
          <w:gridAfter w:val="1"/>
          <w:wAfter w:w="19" w:type="pct"/>
          <w:trHeight w:val="183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357E4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FBF4A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Pengajaran-Pembelajaran (PnP) dan Strategi Penilaian </w:t>
            </w:r>
          </w:p>
        </w:tc>
        <w:tc>
          <w:tcPr>
            <w:tcW w:w="21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A3E4B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8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496DE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Strategi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957C9D" w14:paraId="666BF292" w14:textId="77777777" w:rsidTr="002A732A">
        <w:trPr>
          <w:gridAfter w:val="1"/>
          <w:wAfter w:w="19" w:type="pct"/>
          <w:trHeight w:val="183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2CC39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17C34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1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9409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8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9D923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Soal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jawab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latihan,tugasan</w:t>
            </w:r>
            <w:proofErr w:type="spellEnd"/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ujian,peperiksaan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akhir</w:t>
            </w:r>
            <w:proofErr w:type="spellEnd"/>
          </w:p>
        </w:tc>
      </w:tr>
      <w:tr w:rsidR="00957C9D" w14:paraId="6902AC58" w14:textId="77777777" w:rsidTr="002A732A">
        <w:trPr>
          <w:gridAfter w:val="1"/>
          <w:wAfter w:w="19" w:type="pct"/>
          <w:trHeight w:val="183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5C998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39E0A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1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2CCF5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Tutorial</w:t>
            </w:r>
          </w:p>
        </w:tc>
        <w:tc>
          <w:tcPr>
            <w:tcW w:w="18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DBF5A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Perbincangan,soal</w:t>
            </w:r>
            <w:proofErr w:type="spellEnd"/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jawab,latihan</w:t>
            </w:r>
            <w:proofErr w:type="spellEnd"/>
          </w:p>
        </w:tc>
      </w:tr>
      <w:tr w:rsidR="00957C9D" w14:paraId="32F2554E" w14:textId="77777777" w:rsidTr="002A732A">
        <w:trPr>
          <w:gridAfter w:val="1"/>
          <w:wAfter w:w="19" w:type="pct"/>
          <w:trHeight w:val="183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A534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091B0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1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BF98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kumpulan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8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FD59A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Perbincangan,soal</w:t>
            </w:r>
            <w:proofErr w:type="spellEnd"/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jawab</w:t>
            </w:r>
            <w:proofErr w:type="spellEnd"/>
          </w:p>
        </w:tc>
      </w:tr>
      <w:tr w:rsidR="00957C9D" w14:paraId="29E93DF3" w14:textId="77777777" w:rsidTr="002A732A">
        <w:trPr>
          <w:gridAfter w:val="1"/>
          <w:wAfter w:w="19" w:type="pct"/>
          <w:trHeight w:val="183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F5B71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CA2D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1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00F2B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Pembentangan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8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2B0E7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Pembahagian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tugas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kerjasama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ahli,penyampaian</w:t>
            </w:r>
            <w:proofErr w:type="spellEnd"/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kandungan</w:t>
            </w:r>
            <w:proofErr w:type="spellEnd"/>
          </w:p>
        </w:tc>
      </w:tr>
      <w:tr w:rsidR="00957C9D" w14:paraId="574E820D" w14:textId="77777777" w:rsidTr="002A732A">
        <w:trPr>
          <w:gridAfter w:val="1"/>
          <w:wAfter w:w="19" w:type="pct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A574F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46F34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40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0151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Pelajaran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mengandungi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pengetahuan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pengertian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tafsir dan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ta’wil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perbezaan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antara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kedua-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duanya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sejarah</w:t>
            </w:r>
            <w:proofErr w:type="spellEnd"/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perkembangan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ilmu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tafsir pada zaman Nabi Muhammad (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s.a.w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) dan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sahabatnya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zaman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tabi’in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dan zaman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tadwin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samping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menganalisis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metodologi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pentafsiran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beberapa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karya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tafsir yang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terpilih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957C9D" w14:paraId="6F52BFCB" w14:textId="77777777" w:rsidTr="002A732A">
        <w:trPr>
          <w:gridAfter w:val="1"/>
          <w:wAfter w:w="19" w:type="pct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0FD9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03F3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Mod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Penyampaian</w:t>
            </w:r>
            <w:proofErr w:type="spellEnd"/>
          </w:p>
          <w:p w14:paraId="0B1D4E88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A754B" w14:textId="77777777" w:rsidR="00957C9D" w:rsidRDefault="00957C9D" w:rsidP="00F809B9"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Kuliah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tutorial,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soal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jawab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dua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hala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penerapan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nilai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bersemuka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bilik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kuliah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957C9D" w14:paraId="04217147" w14:textId="77777777" w:rsidTr="002A732A">
        <w:trPr>
          <w:gridAfter w:val="1"/>
          <w:wAfter w:w="19" w:type="pct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4D132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4E24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Jenis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kaedah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40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B942" w14:textId="77777777" w:rsidR="00957C9D" w:rsidRDefault="00957C9D" w:rsidP="00F809B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manakala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formal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semester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dikendalikan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oleh unit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Jawatankuasa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dilantik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643EE53" w14:textId="77777777" w:rsidR="00957C9D" w:rsidRDefault="00957C9D" w:rsidP="00F809B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71A955B" w14:textId="77777777" w:rsidR="00957C9D" w:rsidRDefault="00957C9D" w:rsidP="00F809B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:-</w:t>
            </w:r>
            <w:proofErr w:type="gramEnd"/>
          </w:p>
          <w:p w14:paraId="51E0AE88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1713"/>
            </w:tblGrid>
            <w:tr w:rsidR="00957C9D" w14:paraId="175B053D" w14:textId="77777777" w:rsidTr="001A55FD">
              <w:trPr>
                <w:trHeight w:val="260"/>
              </w:trPr>
              <w:tc>
                <w:tcPr>
                  <w:tcW w:w="3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947598" w14:textId="77777777" w:rsidR="00957C9D" w:rsidRDefault="00957C9D" w:rsidP="00F07932">
                  <w:pPr>
                    <w:framePr w:hSpace="180" w:wrap="around" w:vAnchor="text" w:hAnchor="margin" w:y="129"/>
                    <w:spacing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MARKAH KERJA KURSUS:</w:t>
                  </w:r>
                </w:p>
                <w:p w14:paraId="6170080E" w14:textId="77777777" w:rsidR="00957C9D" w:rsidRDefault="00957C9D" w:rsidP="00F07932">
                  <w:pPr>
                    <w:framePr w:hSpace="180" w:wrap="around" w:vAnchor="text" w:hAnchor="margin" w:y="129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Kertas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Kerja</w:t>
                  </w:r>
                  <w:proofErr w:type="spellEnd"/>
                </w:p>
                <w:p w14:paraId="21F1F800" w14:textId="77777777" w:rsidR="00957C9D" w:rsidRDefault="00957C9D" w:rsidP="00F07932">
                  <w:pPr>
                    <w:framePr w:hSpace="180" w:wrap="around" w:vAnchor="text" w:hAnchor="margin" w:y="129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Pembentangan</w:t>
                  </w:r>
                  <w:proofErr w:type="spellEnd"/>
                </w:p>
                <w:p w14:paraId="5AC3D597" w14:textId="77777777" w:rsidR="00957C9D" w:rsidRDefault="00957C9D" w:rsidP="00F07932">
                  <w:pPr>
                    <w:framePr w:hSpace="180" w:wrap="around" w:vAnchor="text" w:hAnchor="margin" w:y="129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Ujian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1</w:t>
                  </w:r>
                </w:p>
                <w:p w14:paraId="25E5E789" w14:textId="77777777" w:rsidR="00957C9D" w:rsidRDefault="00957C9D" w:rsidP="00F07932">
                  <w:pPr>
                    <w:framePr w:hSpace="180" w:wrap="around" w:vAnchor="text" w:hAnchor="margin" w:y="129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Ujian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1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F038E6" w14:textId="77777777" w:rsidR="00957C9D" w:rsidRDefault="00957C9D" w:rsidP="00F07932">
                  <w:pPr>
                    <w:framePr w:hSpace="180" w:wrap="around" w:vAnchor="text" w:hAnchor="margin" w:y="129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50%</w:t>
                  </w:r>
                </w:p>
                <w:p w14:paraId="3DC3D05B" w14:textId="77777777" w:rsidR="00957C9D" w:rsidRDefault="00957C9D" w:rsidP="00F07932">
                  <w:pPr>
                    <w:framePr w:hSpace="180" w:wrap="around" w:vAnchor="text" w:hAnchor="margin" w:y="129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20%</w:t>
                  </w:r>
                </w:p>
                <w:p w14:paraId="1C1D1631" w14:textId="77777777" w:rsidR="00957C9D" w:rsidRDefault="00957C9D" w:rsidP="00F07932">
                  <w:pPr>
                    <w:framePr w:hSpace="180" w:wrap="around" w:vAnchor="text" w:hAnchor="margin" w:y="129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10%</w:t>
                  </w:r>
                </w:p>
                <w:p w14:paraId="22E91531" w14:textId="77777777" w:rsidR="00957C9D" w:rsidRDefault="00957C9D" w:rsidP="00F07932">
                  <w:pPr>
                    <w:framePr w:hSpace="180" w:wrap="around" w:vAnchor="text" w:hAnchor="margin" w:y="129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10%</w:t>
                  </w:r>
                </w:p>
                <w:p w14:paraId="62DEC5E6" w14:textId="77777777" w:rsidR="00957C9D" w:rsidRDefault="00957C9D" w:rsidP="00F07932">
                  <w:pPr>
                    <w:framePr w:hSpace="180" w:wrap="around" w:vAnchor="text" w:hAnchor="margin" w:y="129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10%</w:t>
                  </w:r>
                </w:p>
              </w:tc>
            </w:tr>
            <w:tr w:rsidR="00957C9D" w14:paraId="1EAF3DDD" w14:textId="77777777" w:rsidTr="001A55FD">
              <w:trPr>
                <w:trHeight w:val="260"/>
              </w:trPr>
              <w:tc>
                <w:tcPr>
                  <w:tcW w:w="3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E4B23B" w14:textId="77777777" w:rsidR="00957C9D" w:rsidRDefault="00957C9D" w:rsidP="00F07932">
                  <w:pPr>
                    <w:framePr w:hSpace="180" w:wrap="around" w:vAnchor="text" w:hAnchor="margin" w:y="129"/>
                    <w:spacing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PEPERIKSAAN AKHIR</w:t>
                  </w:r>
                </w:p>
              </w:tc>
              <w:tc>
                <w:tcPr>
                  <w:tcW w:w="1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963654" w14:textId="77777777" w:rsidR="00957C9D" w:rsidRDefault="00957C9D" w:rsidP="00F07932">
                  <w:pPr>
                    <w:framePr w:hSpace="180" w:wrap="around" w:vAnchor="text" w:hAnchor="margin" w:y="129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50%</w:t>
                  </w:r>
                </w:p>
              </w:tc>
            </w:tr>
            <w:tr w:rsidR="00957C9D" w14:paraId="6515A5D2" w14:textId="77777777" w:rsidTr="001A55FD">
              <w:trPr>
                <w:trHeight w:val="98"/>
              </w:trPr>
              <w:tc>
                <w:tcPr>
                  <w:tcW w:w="3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E4F8D0" w14:textId="77777777" w:rsidR="00957C9D" w:rsidRDefault="00957C9D" w:rsidP="00F07932">
                  <w:pPr>
                    <w:framePr w:hSpace="180" w:wrap="around" w:vAnchor="text" w:hAnchor="margin" w:y="129"/>
                    <w:spacing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1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2A1FE0" w14:textId="77777777" w:rsidR="00957C9D" w:rsidRDefault="00957C9D" w:rsidP="00F07932">
                  <w:pPr>
                    <w:framePr w:hSpace="180" w:wrap="around" w:vAnchor="text" w:hAnchor="margin" w:y="129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0A875424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04B39D4F" w14:textId="77777777" w:rsidR="00957C9D" w:rsidRDefault="00957C9D" w:rsidP="00F809B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Kriteria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summatif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Rujuk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Diploma KTD.</w:t>
            </w:r>
          </w:p>
          <w:p w14:paraId="79A683F6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7C9D" w14:paraId="1F41AD84" w14:textId="77777777" w:rsidTr="002A732A">
        <w:trPr>
          <w:gridAfter w:val="1"/>
          <w:wAfter w:w="19" w:type="pct"/>
          <w:trHeight w:val="2621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35C7B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8A31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Pemetaan Kursus kepada Objektif Program (PEO)</w:t>
            </w:r>
          </w:p>
        </w:tc>
        <w:tc>
          <w:tcPr>
            <w:tcW w:w="40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bottomFromText="200" w:vertAnchor="page" w:horzAnchor="margin" w:tblpY="1"/>
              <w:tblOverlap w:val="never"/>
              <w:tblW w:w="70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1300"/>
              <w:gridCol w:w="1301"/>
              <w:gridCol w:w="1301"/>
              <w:gridCol w:w="1301"/>
              <w:gridCol w:w="1168"/>
            </w:tblGrid>
            <w:tr w:rsidR="00957C9D" w14:paraId="7006B0D8" w14:textId="77777777" w:rsidTr="001A55FD">
              <w:trPr>
                <w:trHeight w:val="82"/>
              </w:trPr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65336B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7283DC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PEO1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396FA8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PEO2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7D469D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  <w:szCs w:val="20"/>
                    </w:rPr>
                    <w:t>PEO3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0AD2EC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PEO4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4A7211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PEO5</w:t>
                  </w:r>
                </w:p>
              </w:tc>
            </w:tr>
            <w:tr w:rsidR="00957C9D" w14:paraId="6203FF89" w14:textId="77777777" w:rsidTr="001A55FD">
              <w:trPr>
                <w:trHeight w:val="465"/>
              </w:trPr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BB30ED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CO1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50C1A5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21D712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44983E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916008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1E071E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957C9D" w14:paraId="78EA49B0" w14:textId="77777777" w:rsidTr="001A55FD">
              <w:trPr>
                <w:trHeight w:val="401"/>
              </w:trPr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6F0B80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CO2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191A73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18654C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3054D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1F3C01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DD4D2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957C9D" w14:paraId="43134BE1" w14:textId="77777777" w:rsidTr="001A55FD">
              <w:trPr>
                <w:trHeight w:val="422"/>
              </w:trPr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19D721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CO3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5EDFEF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C1B096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A03F63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AC8B16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60A7D5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957C9D" w14:paraId="39770E4C" w14:textId="77777777" w:rsidTr="001A55FD">
              <w:trPr>
                <w:trHeight w:val="416"/>
              </w:trPr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52C4BD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CO4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263DF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CE3A5A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A16E75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17373A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AE72CE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276C3BB3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E3AFD71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819D9D4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2C66492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00D049D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E76D121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57C9D" w14:paraId="1BDF23BA" w14:textId="77777777" w:rsidTr="002A732A">
        <w:trPr>
          <w:gridAfter w:val="1"/>
          <w:wAfter w:w="19" w:type="pct"/>
          <w:trHeight w:val="250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6237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6B9D6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Pemetaan Kursus kepada Hasil Pembelajaran Program (PLO)</w:t>
            </w:r>
          </w:p>
        </w:tc>
        <w:tc>
          <w:tcPr>
            <w:tcW w:w="40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6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1"/>
              <w:gridCol w:w="716"/>
              <w:gridCol w:w="716"/>
              <w:gridCol w:w="717"/>
              <w:gridCol w:w="717"/>
              <w:gridCol w:w="717"/>
              <w:gridCol w:w="717"/>
              <w:gridCol w:w="717"/>
              <w:gridCol w:w="717"/>
              <w:gridCol w:w="585"/>
            </w:tblGrid>
            <w:tr w:rsidR="00957C9D" w14:paraId="040DFC90" w14:textId="77777777" w:rsidTr="001A55FD">
              <w:trPr>
                <w:trHeight w:val="73"/>
              </w:trPr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42920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FA7710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PLO1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B64A66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PLO2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50FD9F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PLO3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1EC368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PLO4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3B565C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PLO5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6CB847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PLO6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E63FC1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PLO7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289F4A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PLO8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739B00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PLO9</w:t>
                  </w:r>
                </w:p>
              </w:tc>
            </w:tr>
            <w:tr w:rsidR="00957C9D" w14:paraId="646E1DE9" w14:textId="77777777" w:rsidTr="001A55FD">
              <w:trPr>
                <w:trHeight w:val="306"/>
              </w:trPr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9EC9B6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CO1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AD1F74" w14:textId="77777777" w:rsidR="00957C9D" w:rsidRDefault="00957C9D" w:rsidP="00F809B9"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9C562F" w14:textId="77777777" w:rsidR="00957C9D" w:rsidRDefault="00957C9D" w:rsidP="00F809B9"/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A30B46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32F45572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7EC829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D1AD41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F060B7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BB3EF9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6B9EEB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BC4349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957C9D" w14:paraId="0C813859" w14:textId="77777777" w:rsidTr="001A55FD">
              <w:trPr>
                <w:trHeight w:val="73"/>
              </w:trPr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7E5E0A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CO2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EAA323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815926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45BBB4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2C3ECB5F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0CD355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412DD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24577E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3D4E8B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FADC9F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EEAD76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957C9D" w14:paraId="19D9F2FB" w14:textId="77777777" w:rsidTr="001A55FD">
              <w:trPr>
                <w:trHeight w:val="73"/>
              </w:trPr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B75D0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CO3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C39157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AB9C36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9482C9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366A1137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234DAA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72EB3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776EDB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E49BA2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3341B0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6BBA61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957C9D" w14:paraId="234311AE" w14:textId="77777777" w:rsidTr="001A55FD">
              <w:trPr>
                <w:trHeight w:val="73"/>
              </w:trPr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4B558F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CO4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1E28A4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09DF51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C8E1B2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18873725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5B32E0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BB8A33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B1A3AB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E08222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ED0FDE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86965D" w14:textId="77777777" w:rsidR="00957C9D" w:rsidRDefault="00957C9D" w:rsidP="00F809B9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F09F3E9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57C9D" w14:paraId="607BA1E8" w14:textId="77777777" w:rsidTr="002A732A">
        <w:trPr>
          <w:gridAfter w:val="1"/>
          <w:wAfter w:w="19" w:type="pct"/>
          <w:trHeight w:val="333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A4BEB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5CCC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Kandungan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14:paraId="0BC7E391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dan SLT </w:t>
            </w:r>
          </w:p>
          <w:p w14:paraId="0E71E2E8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421A9EB8" w14:textId="77777777" w:rsidR="00957C9D" w:rsidRDefault="00957C9D" w:rsidP="00F809B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14:paraId="1247DAC7" w14:textId="77777777" w:rsidR="00957C9D" w:rsidRDefault="00957C9D" w:rsidP="00F809B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SCA</w:t>
            </w:r>
            <w:r>
              <w:rPr>
                <w:rFonts w:ascii="Arial Narrow" w:hAnsi="Arial Narrow"/>
                <w:sz w:val="20"/>
                <w:szCs w:val="20"/>
              </w:rPr>
              <w:t>:  Tutorial/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14:paraId="69A0C747" w14:textId="77777777" w:rsidR="00957C9D" w:rsidRDefault="00957C9D" w:rsidP="00F809B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A:  Lain-lain</w:t>
            </w:r>
          </w:p>
          <w:p w14:paraId="5809D777" w14:textId="77777777" w:rsidR="00957C9D" w:rsidRDefault="00957C9D" w:rsidP="00F809B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14:paraId="0C9BE6EC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F6946B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</w:p>
        </w:tc>
        <w:tc>
          <w:tcPr>
            <w:tcW w:w="12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A8BEEA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TAJUK</w:t>
            </w:r>
          </w:p>
        </w:tc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B0DC05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F56A76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sz w:val="20"/>
                <w:szCs w:val="20"/>
              </w:rPr>
              <w:t>SCA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01DEA6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C75F78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PK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A65E47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SLT</w:t>
            </w:r>
          </w:p>
        </w:tc>
      </w:tr>
      <w:tr w:rsidR="00957C9D" w14:paraId="54022878" w14:textId="77777777" w:rsidTr="002A732A">
        <w:trPr>
          <w:gridAfter w:val="1"/>
          <w:wAfter w:w="19" w:type="pct"/>
          <w:trHeight w:val="327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F3281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11D96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18C91A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1-2</w:t>
            </w:r>
          </w:p>
        </w:tc>
        <w:tc>
          <w:tcPr>
            <w:tcW w:w="12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E7D17A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Pengertian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Tafsir dan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Ta’wil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dan p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erbezaan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di antara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kedua-duanya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.</w:t>
            </w:r>
          </w:p>
          <w:p w14:paraId="585BDF81" w14:textId="77777777" w:rsidR="00957C9D" w:rsidRDefault="00957C9D" w:rsidP="00F809B9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Syarat-syarat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pentafsiran</w:t>
            </w:r>
            <w:proofErr w:type="spellEnd"/>
          </w:p>
        </w:tc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9A3BD1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F5B211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D1AA8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B468C4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23D07E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</w:tr>
      <w:tr w:rsidR="00957C9D" w14:paraId="02A5FD7F" w14:textId="77777777" w:rsidTr="002A732A">
        <w:trPr>
          <w:gridAfter w:val="1"/>
          <w:wAfter w:w="19" w:type="pct"/>
          <w:trHeight w:val="327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7745C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7D56B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E36E91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3-5</w:t>
            </w:r>
          </w:p>
        </w:tc>
        <w:tc>
          <w:tcPr>
            <w:tcW w:w="12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15A4E3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Perkembangan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Tafsir pada zaman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Rasulullah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s.a.w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sahabat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r.a.</w:t>
            </w:r>
            <w:proofErr w:type="spellEnd"/>
          </w:p>
          <w:p w14:paraId="71638E19" w14:textId="77777777" w:rsidR="00957C9D" w:rsidRDefault="00957C9D" w:rsidP="00F809B9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Sumber-sumber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tafsir </w:t>
            </w:r>
          </w:p>
          <w:p w14:paraId="134F5C2E" w14:textId="77777777" w:rsidR="00957C9D" w:rsidRDefault="00957C9D" w:rsidP="00F809B9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  <w:lang w:val="fi-FI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i-FI"/>
              </w:rPr>
              <w:t xml:space="preserve">Ahli-ahli Tafsir di kalangan sahabat </w:t>
            </w:r>
          </w:p>
        </w:tc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90175E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6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DD5601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92A93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230472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6E685A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30</w:t>
            </w:r>
          </w:p>
        </w:tc>
      </w:tr>
      <w:tr w:rsidR="00957C9D" w14:paraId="4261EB70" w14:textId="77777777" w:rsidTr="002A732A">
        <w:trPr>
          <w:gridAfter w:val="1"/>
          <w:wAfter w:w="19" w:type="pct"/>
          <w:trHeight w:val="327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987A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841AA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BBC9DD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6-9</w:t>
            </w:r>
          </w:p>
        </w:tc>
        <w:tc>
          <w:tcPr>
            <w:tcW w:w="12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BD21E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Perkembangan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Tafsir pada zaman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Tabi’in</w:t>
            </w:r>
            <w:proofErr w:type="spellEnd"/>
          </w:p>
          <w:p w14:paraId="5FF89087" w14:textId="77777777" w:rsidR="00957C9D" w:rsidRDefault="00957C9D" w:rsidP="00F809B9">
            <w:pPr>
              <w:numPr>
                <w:ilvl w:val="0"/>
                <w:numId w:val="2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Sumber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sumber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tafsir </w:t>
            </w:r>
          </w:p>
          <w:p w14:paraId="5DCD7DC2" w14:textId="77777777" w:rsidR="00957C9D" w:rsidRDefault="00957C9D" w:rsidP="00F809B9">
            <w:pPr>
              <w:numPr>
                <w:ilvl w:val="0"/>
                <w:numId w:val="2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Ciri-ciri</w:t>
            </w:r>
            <w:proofErr w:type="spellEnd"/>
          </w:p>
          <w:p w14:paraId="2F5E58D7" w14:textId="77777777" w:rsidR="00957C9D" w:rsidRDefault="00957C9D" w:rsidP="00F809B9">
            <w:pPr>
              <w:numPr>
                <w:ilvl w:val="0"/>
                <w:numId w:val="2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Tokoh-tokoh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pentafsir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182F005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3EC756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71E7B7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3172B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2CB598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3F746A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</w:tr>
      <w:tr w:rsidR="00957C9D" w14:paraId="1A1D0CB1" w14:textId="77777777" w:rsidTr="002A732A">
        <w:trPr>
          <w:gridAfter w:val="1"/>
          <w:wAfter w:w="19" w:type="pct"/>
          <w:trHeight w:val="327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1F4DD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B9F93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D5835A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10-14</w:t>
            </w:r>
          </w:p>
        </w:tc>
        <w:tc>
          <w:tcPr>
            <w:tcW w:w="12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CC8F9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Perkembangan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Tafsir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pada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zaman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tadwin</w:t>
            </w:r>
            <w:proofErr w:type="spellEnd"/>
          </w:p>
          <w:p w14:paraId="2356B18E" w14:textId="77777777" w:rsidR="00957C9D" w:rsidRDefault="00957C9D" w:rsidP="00F809B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Aliran-aliran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Tafsir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Tafsir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bi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Ma’thur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tafsir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bi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Ra’y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)</w:t>
            </w:r>
          </w:p>
          <w:p w14:paraId="4FE657CC" w14:textId="77777777" w:rsidR="00957C9D" w:rsidRDefault="00957C9D" w:rsidP="00F809B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Tokoh-tokoh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Karya-karya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tafsir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 </w:t>
            </w:r>
          </w:p>
          <w:p w14:paraId="52C30453" w14:textId="77777777" w:rsidR="00957C9D" w:rsidRDefault="00957C9D" w:rsidP="00F809B9">
            <w:pPr>
              <w:numPr>
                <w:ilvl w:val="0"/>
                <w:numId w:val="4"/>
              </w:num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bi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Ma`thur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</w:p>
          <w:p w14:paraId="1E89CE7A" w14:textId="77777777" w:rsidR="00957C9D" w:rsidRDefault="00957C9D" w:rsidP="00F809B9">
            <w:pPr>
              <w:numPr>
                <w:ilvl w:val="0"/>
                <w:numId w:val="4"/>
              </w:num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bi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ra`y</w:t>
            </w:r>
            <w:proofErr w:type="spellEnd"/>
          </w:p>
          <w:p w14:paraId="27C2EE7F" w14:textId="77777777" w:rsidR="00957C9D" w:rsidRDefault="00957C9D" w:rsidP="00F809B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Metodologi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pentafsiran</w:t>
            </w:r>
            <w:proofErr w:type="spellEnd"/>
          </w:p>
          <w:p w14:paraId="7C443F3F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3B4E2B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32B23F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CE092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701807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56C054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43</w:t>
            </w:r>
          </w:p>
        </w:tc>
      </w:tr>
      <w:tr w:rsidR="00957C9D" w14:paraId="2711023E" w14:textId="77777777" w:rsidTr="002A732A">
        <w:trPr>
          <w:gridAfter w:val="1"/>
          <w:wAfter w:w="19" w:type="pct"/>
          <w:trHeight w:val="327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CA24A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ACF5E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224DD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6CF25A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Jumlah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Jam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Kontak</w:t>
            </w:r>
            <w:proofErr w:type="spellEnd"/>
          </w:p>
        </w:tc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9A25C9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A8679D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BB27A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1AADE4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71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8DC6D1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</w:tr>
      <w:tr w:rsidR="00957C9D" w14:paraId="3DB6C20E" w14:textId="77777777" w:rsidTr="002A732A">
        <w:trPr>
          <w:gridAfter w:val="1"/>
          <w:wAfter w:w="19" w:type="pct"/>
          <w:trHeight w:val="327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FC57C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81264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67932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64382D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Jumlah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19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CBD4FE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957C9D" w14:paraId="5E46E5C8" w14:textId="77777777" w:rsidTr="002A732A">
        <w:trPr>
          <w:gridAfter w:val="1"/>
          <w:wAfter w:w="19" w:type="pct"/>
          <w:trHeight w:val="255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6C41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B2EF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</w:p>
          <w:p w14:paraId="7F6552F0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BB267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Rujukan Utama:</w:t>
            </w:r>
          </w:p>
          <w:p w14:paraId="406804F1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71925E33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da-DK"/>
              </w:rPr>
            </w:pPr>
            <w:r>
              <w:rPr>
                <w:rFonts w:ascii="Arial Narrow" w:hAnsi="Arial Narrow" w:cs="Arial"/>
                <w:sz w:val="20"/>
                <w:szCs w:val="20"/>
                <w:lang w:val="da-DK"/>
              </w:rPr>
              <w:lastRenderedPageBreak/>
              <w:t>Al-Dhahabi. Muhammad Husayn. (Dr.) (2000).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da-DK"/>
              </w:rPr>
              <w:t xml:space="preserve"> Al-Tafsir wa al-Mufassirun,</w:t>
            </w:r>
            <w:r>
              <w:rPr>
                <w:rFonts w:ascii="Arial Narrow" w:hAnsi="Arial Narrow" w:cs="Arial"/>
                <w:sz w:val="20"/>
                <w:szCs w:val="20"/>
                <w:lang w:val="da-DK"/>
              </w:rPr>
              <w:t xml:space="preserve"> Kaherah : Maktabah al-Wahbah.</w:t>
            </w:r>
          </w:p>
          <w:p w14:paraId="1734C3C4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da-DK"/>
              </w:rPr>
            </w:pPr>
          </w:p>
        </w:tc>
      </w:tr>
      <w:tr w:rsidR="00957C9D" w14:paraId="30E1107E" w14:textId="77777777" w:rsidTr="002A732A">
        <w:trPr>
          <w:gridAfter w:val="1"/>
          <w:wAfter w:w="19" w:type="pct"/>
          <w:trHeight w:val="270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A109B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BFA2E" w14:textId="77777777" w:rsidR="00957C9D" w:rsidRDefault="00957C9D" w:rsidP="00F809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18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7175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Rujukan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Tambahan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24525891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061C7BF6" w14:textId="77777777" w:rsidR="00957C9D" w:rsidRDefault="00957C9D" w:rsidP="00F809B9">
            <w:pPr>
              <w:numPr>
                <w:ilvl w:val="0"/>
                <w:numId w:val="5"/>
              </w:numPr>
              <w:tabs>
                <w:tab w:val="num" w:pos="1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Dawudi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Syamsuddin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Muhammad bin Ali bin Ahmad (t.t).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Tabaqat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Mufassirin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Beirut :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Dar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Kutub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Ilmiyyah</w:t>
            </w:r>
            <w:proofErr w:type="spellEnd"/>
          </w:p>
          <w:p w14:paraId="0DCC3236" w14:textId="77777777" w:rsidR="00957C9D" w:rsidRDefault="00957C9D" w:rsidP="00F809B9">
            <w:pPr>
              <w:numPr>
                <w:ilvl w:val="0"/>
                <w:numId w:val="5"/>
              </w:numPr>
              <w:tabs>
                <w:tab w:val="num" w:pos="1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Ibn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Taimiyah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(t.t.).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Muqaddimah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fi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Usul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al-Tafsir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Kaherah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 :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Maktabah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Turath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al-Islami</w:t>
            </w:r>
          </w:p>
          <w:p w14:paraId="6DAEEAAD" w14:textId="77777777" w:rsidR="00957C9D" w:rsidRDefault="00957C9D" w:rsidP="00F809B9">
            <w:pPr>
              <w:numPr>
                <w:ilvl w:val="0"/>
                <w:numId w:val="5"/>
              </w:numPr>
              <w:tabs>
                <w:tab w:val="num" w:pos="1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Al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-‘</w:t>
            </w:r>
            <w:proofErr w:type="spellStart"/>
            <w:proofErr w:type="gram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Ak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Khalid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Abd. al-Rahman. (1994).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Usul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Tafsir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wa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Qawa’iduh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</w:t>
            </w:r>
            <w:r>
              <w:rPr>
                <w:rFonts w:ascii="Arial Narrow" w:hAnsi="Arial Narrow" w:cs="Arial"/>
                <w:sz w:val="20"/>
                <w:szCs w:val="20"/>
              </w:rPr>
              <w:t>Beirut: Dar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Nafa’is</w:t>
            </w:r>
            <w:proofErr w:type="spellEnd"/>
          </w:p>
          <w:p w14:paraId="6A6DDD5D" w14:textId="77777777" w:rsidR="00957C9D" w:rsidRDefault="00957C9D" w:rsidP="00F809B9">
            <w:pPr>
              <w:numPr>
                <w:ilvl w:val="0"/>
                <w:numId w:val="5"/>
              </w:numPr>
              <w:tabs>
                <w:tab w:val="num" w:pos="1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Abu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Fida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’, Ismail bin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Kathir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(2000).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Tafsir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Quran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al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-‘</w:t>
            </w:r>
            <w:proofErr w:type="spellStart"/>
            <w:proofErr w:type="gram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Azim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. Beirut: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Maktabah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al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-‘</w:t>
            </w:r>
            <w:proofErr w:type="spellStart"/>
            <w:proofErr w:type="gram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Asriyah</w:t>
            </w:r>
            <w:proofErr w:type="spellEnd"/>
          </w:p>
          <w:p w14:paraId="13D235FE" w14:textId="77777777" w:rsidR="00957C9D" w:rsidRDefault="00957C9D" w:rsidP="00F809B9">
            <w:pPr>
              <w:numPr>
                <w:ilvl w:val="0"/>
                <w:numId w:val="5"/>
              </w:numPr>
              <w:tabs>
                <w:tab w:val="num" w:pos="1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Al-Suyuti, Jalal al-Din Abd al-Rahman bin Abi Bakr. (1990). Al-Durr al-Manthur fi al-Tafsir bi al-Ma’thur. </w:t>
            </w:r>
            <w:r>
              <w:rPr>
                <w:rFonts w:ascii="Arial Narrow" w:hAnsi="Arial Narrow" w:cs="Arial"/>
                <w:sz w:val="20"/>
                <w:szCs w:val="20"/>
              </w:rPr>
              <w:t>Beirut: Dar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Kutub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Ilmiyyah</w:t>
            </w:r>
            <w:proofErr w:type="spellEnd"/>
          </w:p>
          <w:p w14:paraId="026E18C2" w14:textId="77777777" w:rsidR="00957C9D" w:rsidRDefault="00957C9D" w:rsidP="00F809B9">
            <w:pPr>
              <w:numPr>
                <w:ilvl w:val="0"/>
                <w:numId w:val="5"/>
              </w:numPr>
              <w:tabs>
                <w:tab w:val="num" w:pos="1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Fakhr al-Din al-Razi. (t.t.). Mafatih al-Ghayb.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Cet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2.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Tehran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: Dar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Kutub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Ilmiyyah</w:t>
            </w:r>
            <w:proofErr w:type="spellEnd"/>
          </w:p>
          <w:p w14:paraId="54B888E4" w14:textId="77777777" w:rsidR="00957C9D" w:rsidRDefault="00957C9D" w:rsidP="00F809B9">
            <w:pPr>
              <w:numPr>
                <w:ilvl w:val="0"/>
                <w:numId w:val="5"/>
              </w:numPr>
              <w:tabs>
                <w:tab w:val="num" w:pos="144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Maina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’ Abd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Halim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Mahmud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(1978).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Manahij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Mufassirin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. Beirut: Dar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Kutub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Lubnani</w:t>
            </w:r>
            <w:proofErr w:type="spellEnd"/>
          </w:p>
          <w:p w14:paraId="4668786F" w14:textId="77777777" w:rsidR="00957C9D" w:rsidRDefault="00957C9D" w:rsidP="00F809B9">
            <w:pPr>
              <w:tabs>
                <w:tab w:val="num" w:pos="1440"/>
              </w:tabs>
              <w:spacing w:line="240" w:lineRule="auto"/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957C9D" w14:paraId="5CA971E8" w14:textId="77777777" w:rsidTr="002A732A">
        <w:trPr>
          <w:gridAfter w:val="1"/>
          <w:wAfter w:w="19" w:type="pct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28744" w14:textId="77777777" w:rsidR="00957C9D" w:rsidRDefault="00957C9D" w:rsidP="00F809B9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1F36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Maklumat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40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167D" w14:textId="77777777" w:rsidR="00957C9D" w:rsidRDefault="00957C9D" w:rsidP="00F809B9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B83A978" w14:textId="77777777" w:rsidR="00957C9D" w:rsidRDefault="00957C9D" w:rsidP="00957C9D"/>
    <w:p w14:paraId="0E874B67" w14:textId="77777777" w:rsidR="00C72590" w:rsidRDefault="00C72590"/>
    <w:sectPr w:rsidR="00C7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712B4"/>
    <w:multiLevelType w:val="multilevel"/>
    <w:tmpl w:val="65E20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4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C34B06"/>
    <w:multiLevelType w:val="hybridMultilevel"/>
    <w:tmpl w:val="D8084C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A7A89"/>
    <w:multiLevelType w:val="hybridMultilevel"/>
    <w:tmpl w:val="ED8CD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AF4F30"/>
    <w:multiLevelType w:val="hybridMultilevel"/>
    <w:tmpl w:val="7ABCF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B333CA"/>
    <w:multiLevelType w:val="multilevel"/>
    <w:tmpl w:val="EB9C4D2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33"/>
    <w:rsid w:val="001A55FD"/>
    <w:rsid w:val="002A732A"/>
    <w:rsid w:val="00636333"/>
    <w:rsid w:val="00957C9D"/>
    <w:rsid w:val="00C72590"/>
    <w:rsid w:val="00F07932"/>
    <w:rsid w:val="00F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E5B4C"/>
  <w15:chartTrackingRefBased/>
  <w15:docId w15:val="{BA2051CA-748B-437A-BBFE-A1F7FBD2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C9D"/>
    <w:pPr>
      <w:spacing w:after="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aliases w:val="Char Char"/>
    <w:basedOn w:val="DefaultParagraphFont"/>
    <w:link w:val="BodyTextIndent"/>
    <w:semiHidden/>
    <w:locked/>
    <w:rsid w:val="00957C9D"/>
    <w:rPr>
      <w:rFonts w:ascii="Calibri" w:eastAsia="Calibri" w:hAnsi="Calibri" w:cs="Times New Roman"/>
    </w:rPr>
  </w:style>
  <w:style w:type="paragraph" w:styleId="BodyTextIndent">
    <w:name w:val="Body Text Indent"/>
    <w:aliases w:val="Char"/>
    <w:basedOn w:val="Normal"/>
    <w:link w:val="BodyTextIndentChar"/>
    <w:semiHidden/>
    <w:unhideWhenUsed/>
    <w:rsid w:val="00957C9D"/>
    <w:pPr>
      <w:spacing w:after="120"/>
      <w:ind w:left="283"/>
    </w:pPr>
    <w:rPr>
      <w:lang w:val="ms-MY"/>
    </w:rPr>
  </w:style>
  <w:style w:type="character" w:customStyle="1" w:styleId="BodyTextIndentChar1">
    <w:name w:val="Body Text Indent Char1"/>
    <w:basedOn w:val="DefaultParagraphFont"/>
    <w:uiPriority w:val="99"/>
    <w:semiHidden/>
    <w:rsid w:val="00957C9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57C9D"/>
    <w:pPr>
      <w:spacing w:after="200"/>
      <w:ind w:left="36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ahmadzikri</dc:creator>
  <cp:keywords/>
  <dc:description/>
  <cp:lastModifiedBy>ahmadzikri</cp:lastModifiedBy>
  <cp:revision>7</cp:revision>
  <dcterms:created xsi:type="dcterms:W3CDTF">2018-07-15T03:17:00Z</dcterms:created>
  <dcterms:modified xsi:type="dcterms:W3CDTF">2018-07-16T06:24:00Z</dcterms:modified>
</cp:coreProperties>
</file>